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AB" w:rsidRDefault="008610AB">
      <w:pPr>
        <w:spacing w:line="276" w:lineRule="auto"/>
        <w:rPr>
          <w:rFonts w:ascii="Verdana" w:hAnsi="Verdana"/>
          <w:sz w:val="20"/>
          <w:szCs w:val="20"/>
        </w:rPr>
      </w:pPr>
      <w:bookmarkStart w:id="0" w:name="_GoBack"/>
      <w:bookmarkEnd w:id="0"/>
    </w:p>
    <w:tbl>
      <w:tblPr>
        <w:tblW w:w="5000" w:type="pct"/>
        <w:tblCellMar>
          <w:left w:w="10" w:type="dxa"/>
          <w:right w:w="10" w:type="dxa"/>
        </w:tblCellMar>
        <w:tblLook w:val="04A0" w:firstRow="1" w:lastRow="0" w:firstColumn="1" w:lastColumn="0" w:noHBand="0" w:noVBand="1"/>
      </w:tblPr>
      <w:tblGrid>
        <w:gridCol w:w="9360"/>
      </w:tblGrid>
      <w:tr w:rsidR="008610AB">
        <w:tblPrEx>
          <w:tblCellMar>
            <w:top w:w="0" w:type="dxa"/>
            <w:bottom w:w="0" w:type="dxa"/>
          </w:tblCellMar>
        </w:tblPrEx>
        <w:tc>
          <w:tcPr>
            <w:tcW w:w="9360" w:type="dxa"/>
            <w:shd w:val="clear" w:color="auto" w:fill="auto"/>
            <w:tcMar>
              <w:top w:w="0" w:type="dxa"/>
              <w:left w:w="0" w:type="dxa"/>
              <w:bottom w:w="150" w:type="dxa"/>
              <w:right w:w="0" w:type="dxa"/>
            </w:tcMar>
          </w:tcPr>
          <w:tbl>
            <w:tblPr>
              <w:tblW w:w="5000" w:type="pct"/>
              <w:tblCellMar>
                <w:left w:w="10" w:type="dxa"/>
                <w:right w:w="10" w:type="dxa"/>
              </w:tblCellMar>
              <w:tblLook w:val="04A0" w:firstRow="1" w:lastRow="0" w:firstColumn="1" w:lastColumn="0" w:noHBand="0" w:noVBand="1"/>
            </w:tblPr>
            <w:tblGrid>
              <w:gridCol w:w="9360"/>
            </w:tblGrid>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B00EC2">
                  <w:pPr>
                    <w:pStyle w:val="NormalWeb"/>
                  </w:pPr>
                  <w:r>
                    <w:rPr>
                      <w:rFonts w:ascii="Calibri" w:hAnsi="Calibri" w:cs="Calibri"/>
                      <w:lang w:val="nl-NL" w:eastAsia="nl-NL"/>
                    </w:rPr>
                    <w:t>Beste leden van de IC-club,</w:t>
                  </w:r>
                  <w:r>
                    <w:rPr>
                      <w:rFonts w:ascii="Calibri" w:hAnsi="Calibri" w:cs="Calibri"/>
                      <w:lang w:val="nl-NL" w:eastAsia="nl-NL"/>
                    </w:rPr>
                    <w:br/>
                  </w:r>
                  <w:r>
                    <w:rPr>
                      <w:rFonts w:ascii="Calibri" w:hAnsi="Calibri" w:cs="Calibri"/>
                      <w:lang w:val="nl-NL" w:eastAsia="nl-NL"/>
                    </w:rPr>
                    <w:br/>
                  </w:r>
                  <w:r>
                    <w:rPr>
                      <w:rFonts w:ascii="Calibri" w:hAnsi="Calibri" w:cs="Calibri"/>
                      <w:color w:val="000000"/>
                      <w:lang w:val="nl-NL"/>
                    </w:rPr>
                    <w:t xml:space="preserve">Graag nodig ik u uit voor de tweede bijeenkomst van de “IC-club”, een netwerkbijeenkomst voor psychiaters van alle opnameklinieken in Amsterdam. </w:t>
                  </w:r>
                </w:p>
                <w:p w:rsidR="008610AB" w:rsidRDefault="008610AB">
                  <w:pPr>
                    <w:pStyle w:val="NormalWeb"/>
                    <w:rPr>
                      <w:rFonts w:ascii="Calibri" w:hAnsi="Calibri" w:cs="Calibri"/>
                      <w:color w:val="000000"/>
                      <w:lang w:val="nl-NL"/>
                    </w:rPr>
                  </w:pPr>
                </w:p>
                <w:p w:rsidR="008610AB" w:rsidRDefault="00B00EC2">
                  <w:pPr>
                    <w:pStyle w:val="NormalWeb"/>
                  </w:pPr>
                  <w:r>
                    <w:rPr>
                      <w:rFonts w:ascii="Calibri" w:hAnsi="Calibri" w:cs="Calibri"/>
                      <w:color w:val="000000"/>
                      <w:lang w:val="nl-NL"/>
                    </w:rPr>
                    <w:t xml:space="preserve">Doel </w:t>
                  </w:r>
                  <w:r>
                    <w:rPr>
                      <w:rFonts w:ascii="Calibri" w:hAnsi="Calibri" w:cs="Calibri"/>
                      <w:color w:val="000000"/>
                      <w:lang w:val="nl-NL"/>
                    </w:rPr>
                    <w:t>van de IC-club is dat we elkaar en elkaars werkwijze beter leren kennen. Zo kunnen we van elkaar leren en hopelijk levert het ook kortere lijntjes en een betere samenwerking op. De bijeenkomst zal telkens op een andere locatie zijn, zodat we bij elkaar een</w:t>
                  </w:r>
                  <w:r>
                    <w:rPr>
                      <w:rFonts w:ascii="Calibri" w:hAnsi="Calibri" w:cs="Calibri"/>
                      <w:color w:val="000000"/>
                      <w:lang w:val="nl-NL"/>
                    </w:rPr>
                    <w:t xml:space="preserve"> kijkje in de keuken kunnen nemen. Deze keer vindt de bijeenkomst plaats in het </w:t>
                  </w:r>
                  <w:r>
                    <w:rPr>
                      <w:rFonts w:ascii="Calibri" w:hAnsi="Calibri" w:cs="Calibri"/>
                      <w:b/>
                    </w:rPr>
                    <w:t>Onze Lieve Vrouwe Gasthuis</w:t>
                  </w:r>
                  <w:r>
                    <w:rPr>
                      <w:rFonts w:ascii="Calibri" w:hAnsi="Calibri" w:cs="Calibri"/>
                      <w:b/>
                      <w:bCs/>
                    </w:rPr>
                    <w:t xml:space="preserve"> West. </w:t>
                  </w:r>
                  <w:r>
                    <w:rPr>
                      <w:rFonts w:ascii="Calibri" w:hAnsi="Calibri" w:cs="Calibri"/>
                      <w:bCs/>
                    </w:rPr>
                    <w:t>Het eten zal op de locatie zelf plaatsvinden.</w:t>
                  </w:r>
                </w:p>
                <w:p w:rsidR="008610AB" w:rsidRDefault="008610AB">
                  <w:pPr>
                    <w:pStyle w:val="NormalWeb"/>
                    <w:rPr>
                      <w:rFonts w:ascii="Calibri" w:hAnsi="Calibri" w:cs="Calibri"/>
                      <w:b/>
                      <w:bCs/>
                    </w:rPr>
                  </w:pPr>
                </w:p>
                <w:p w:rsidR="008610AB" w:rsidRDefault="00B00EC2">
                  <w:pPr>
                    <w:pStyle w:val="NormalWeb"/>
                  </w:pPr>
                  <w:r>
                    <w:rPr>
                      <w:rFonts w:ascii="Calibri" w:hAnsi="Calibri" w:cs="Calibri"/>
                      <w:bCs/>
                    </w:rPr>
                    <w:t xml:space="preserve">Het thema van de avond is </w:t>
                  </w:r>
                  <w:r>
                    <w:rPr>
                      <w:rFonts w:ascii="Calibri" w:hAnsi="Calibri" w:cs="Calibri"/>
                      <w:b/>
                    </w:rPr>
                    <w:t>“</w:t>
                  </w:r>
                  <w:r>
                    <w:rPr>
                      <w:rFonts w:ascii="Calibri" w:hAnsi="Calibri" w:cs="Calibri"/>
                      <w:b/>
                      <w:lang w:val="nl-NL"/>
                    </w:rPr>
                    <w:t>Ziekenhuispsychiatrie in Amsterdam”</w:t>
                  </w:r>
                  <w:r>
                    <w:rPr>
                      <w:rFonts w:ascii="Calibri" w:hAnsi="Calibri" w:cs="Calibri"/>
                      <w:lang w:val="nl-NL"/>
                    </w:rPr>
                    <w:t>.</w:t>
                  </w:r>
                </w:p>
              </w:tc>
            </w:tr>
          </w:tbl>
          <w:p w:rsidR="008610AB" w:rsidRDefault="008610AB">
            <w:pPr>
              <w:spacing w:after="0" w:line="276" w:lineRule="auto"/>
              <w:rPr>
                <w:rFonts w:cs="Calibri"/>
                <w:sz w:val="24"/>
                <w:szCs w:val="24"/>
                <w:lang w:val="nl-NL"/>
              </w:rPr>
            </w:pPr>
          </w:p>
        </w:tc>
      </w:tr>
      <w:tr w:rsidR="008610AB">
        <w:tblPrEx>
          <w:tblCellMar>
            <w:top w:w="0" w:type="dxa"/>
            <w:bottom w:w="0" w:type="dxa"/>
          </w:tblCellMar>
        </w:tblPrEx>
        <w:trPr>
          <w:trHeight w:val="368"/>
        </w:trPr>
        <w:tc>
          <w:tcPr>
            <w:tcW w:w="9360" w:type="dxa"/>
            <w:shd w:val="clear" w:color="auto" w:fill="auto"/>
            <w:tcMar>
              <w:top w:w="15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Datum</w:t>
            </w:r>
          </w:p>
          <w:p w:rsidR="008610AB" w:rsidRDefault="00B00EC2">
            <w:pPr>
              <w:spacing w:after="0" w:line="276" w:lineRule="auto"/>
              <w:rPr>
                <w:rFonts w:eastAsia="Times New Roman" w:cs="Calibri"/>
                <w:sz w:val="24"/>
                <w:szCs w:val="24"/>
                <w:lang w:val="nl-NL" w:eastAsia="nl-NL"/>
              </w:rPr>
            </w:pPr>
            <w:r>
              <w:rPr>
                <w:rFonts w:eastAsia="Times New Roman" w:cs="Calibri"/>
                <w:sz w:val="24"/>
                <w:szCs w:val="24"/>
                <w:lang w:val="nl-NL" w:eastAsia="nl-NL"/>
              </w:rPr>
              <w:t>Donderdag 26 april 2018</w:t>
            </w:r>
          </w:p>
        </w:tc>
      </w:tr>
      <w:tr w:rsidR="008610AB">
        <w:tblPrEx>
          <w:tblCellMar>
            <w:top w:w="0" w:type="dxa"/>
            <w:bottom w:w="0" w:type="dxa"/>
          </w:tblCellMar>
        </w:tblPrEx>
        <w:tc>
          <w:tcPr>
            <w:tcW w:w="9360" w:type="dxa"/>
            <w:shd w:val="clear" w:color="auto" w:fill="auto"/>
            <w:tcMar>
              <w:top w:w="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Tijd</w:t>
            </w:r>
          </w:p>
          <w:p w:rsidR="008610AB" w:rsidRDefault="00B00EC2">
            <w:pPr>
              <w:spacing w:after="0" w:line="276" w:lineRule="auto"/>
            </w:pPr>
            <w:r>
              <w:rPr>
                <w:rFonts w:eastAsia="Times New Roman" w:cs="Calibri"/>
                <w:sz w:val="24"/>
                <w:szCs w:val="24"/>
                <w:lang w:val="nl-NL" w:eastAsia="nl-NL"/>
              </w:rPr>
              <w:t>17:00 – 21:00 uur</w:t>
            </w:r>
          </w:p>
        </w:tc>
      </w:tr>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Locatie</w:t>
            </w:r>
          </w:p>
          <w:p w:rsidR="008610AB" w:rsidRDefault="00B00EC2">
            <w:pPr>
              <w:pStyle w:val="NormalWeb"/>
            </w:pPr>
            <w:r>
              <w:rPr>
                <w:rFonts w:ascii="Calibri" w:hAnsi="Calibri" w:cs="Calibri"/>
                <w:bCs/>
              </w:rPr>
              <w:t>OLVG West; Jan Tooropstraat 164 te Amsterdam. De bijeenkomst vindt plaats in de kapel op de 1e etage.</w:t>
            </w:r>
          </w:p>
          <w:p w:rsidR="008610AB" w:rsidRDefault="008610AB">
            <w:pPr>
              <w:spacing w:after="0" w:line="276" w:lineRule="auto"/>
              <w:rPr>
                <w:rFonts w:eastAsia="Times New Roman" w:cs="Calibri"/>
                <w:bCs/>
                <w:color w:val="850051"/>
                <w:sz w:val="24"/>
                <w:szCs w:val="24"/>
                <w:lang w:val="nl-NL" w:eastAsia="nl-NL"/>
              </w:rPr>
            </w:pPr>
          </w:p>
        </w:tc>
      </w:tr>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Programma</w:t>
            </w:r>
          </w:p>
        </w:tc>
      </w:tr>
      <w:tr w:rsidR="008610AB">
        <w:tblPrEx>
          <w:tblCellMar>
            <w:top w:w="0" w:type="dxa"/>
            <w:bottom w:w="0" w:type="dxa"/>
          </w:tblCellMar>
        </w:tblPrEx>
        <w:tc>
          <w:tcPr>
            <w:tcW w:w="9360" w:type="dxa"/>
            <w:shd w:val="clear" w:color="auto" w:fill="auto"/>
            <w:tcMar>
              <w:top w:w="0" w:type="dxa"/>
              <w:left w:w="0" w:type="dxa"/>
              <w:bottom w:w="150" w:type="dxa"/>
              <w:right w:w="0" w:type="dxa"/>
            </w:tcMar>
          </w:tcPr>
          <w:tbl>
            <w:tblPr>
              <w:tblW w:w="5000" w:type="pct"/>
              <w:tblCellMar>
                <w:left w:w="10" w:type="dxa"/>
                <w:right w:w="10" w:type="dxa"/>
              </w:tblCellMar>
              <w:tblLook w:val="04A0" w:firstRow="1" w:lastRow="0" w:firstColumn="1" w:lastColumn="0" w:noHBand="0" w:noVBand="1"/>
            </w:tblPr>
            <w:tblGrid>
              <w:gridCol w:w="966"/>
              <w:gridCol w:w="8378"/>
            </w:tblGrid>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b/>
                      <w:bCs/>
                      <w:sz w:val="24"/>
                      <w:szCs w:val="24"/>
                      <w:lang w:val="nl-NL" w:eastAsia="nl-NL"/>
                    </w:rPr>
                    <w:t>Tijd</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b/>
                      <w:bCs/>
                      <w:sz w:val="24"/>
                      <w:szCs w:val="24"/>
                      <w:lang w:val="nl-NL" w:eastAsia="nl-NL"/>
                    </w:rPr>
                    <w:t>Activiteit</w:t>
                  </w:r>
                </w:p>
              </w:tc>
            </w:tr>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17:00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cs="Calibri"/>
                      <w:sz w:val="24"/>
                      <w:szCs w:val="24"/>
                      <w:lang w:val="nl-NL"/>
                    </w:rPr>
                    <w:t>Ontvangst met een drankje</w:t>
                  </w:r>
                </w:p>
              </w:tc>
            </w:tr>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17:30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uppressAutoHyphens w:val="0"/>
                    <w:spacing w:after="0"/>
                    <w:textAlignment w:val="auto"/>
                  </w:pPr>
                  <w:r>
                    <w:rPr>
                      <w:rFonts w:eastAsia="Times New Roman" w:cs="Calibri"/>
                      <w:sz w:val="24"/>
                      <w:szCs w:val="24"/>
                      <w:lang w:val="nl-NL"/>
                    </w:rPr>
                    <w:t>Ziekenhuispsychiatrie als onderdeel van ketenzorg.</w:t>
                  </w:r>
                </w:p>
                <w:p w:rsidR="008610AB" w:rsidRDefault="00B00EC2">
                  <w:pPr>
                    <w:spacing w:after="0" w:line="276" w:lineRule="auto"/>
                  </w:pPr>
                  <w:r>
                    <w:rPr>
                      <w:rFonts w:eastAsia="Times New Roman" w:cs="Calibri"/>
                      <w:i/>
                      <w:iCs/>
                      <w:sz w:val="24"/>
                      <w:szCs w:val="24"/>
                      <w:lang w:val="nl-NL"/>
                    </w:rPr>
                    <w:t>Prof. Dr. Adriaan Honig</w:t>
                  </w:r>
                </w:p>
              </w:tc>
            </w:tr>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18:30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Buffet</w:t>
                  </w:r>
                </w:p>
              </w:tc>
            </w:tr>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19:15</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uppressAutoHyphens w:val="0"/>
                    <w:spacing w:after="0"/>
                    <w:textAlignment w:val="auto"/>
                    <w:rPr>
                      <w:rFonts w:eastAsia="Times New Roman" w:cs="Calibri"/>
                      <w:sz w:val="24"/>
                      <w:szCs w:val="24"/>
                      <w:lang w:val="nl-NL"/>
                    </w:rPr>
                  </w:pPr>
                  <w:r>
                    <w:rPr>
                      <w:rFonts w:eastAsia="Times New Roman" w:cs="Calibri"/>
                      <w:sz w:val="24"/>
                      <w:szCs w:val="24"/>
                      <w:lang w:val="nl-NL"/>
                    </w:rPr>
                    <w:t xml:space="preserve">Ziekenhuispsychiatrie in Amsterdam - discussie. </w:t>
                  </w:r>
                </w:p>
                <w:p w:rsidR="008610AB" w:rsidRDefault="00B00EC2">
                  <w:pPr>
                    <w:suppressAutoHyphens w:val="0"/>
                    <w:spacing w:after="0"/>
                    <w:textAlignment w:val="auto"/>
                  </w:pPr>
                  <w:r>
                    <w:rPr>
                      <w:rFonts w:eastAsia="Times New Roman" w:cs="Calibri"/>
                      <w:i/>
                      <w:iCs/>
                      <w:sz w:val="24"/>
                      <w:szCs w:val="24"/>
                      <w:lang w:val="nl-NL"/>
                    </w:rPr>
                    <w:t>Discussieleiders: Drs. Adriano van de Loo en Dr. Ton Vergouwen</w:t>
                  </w:r>
                </w:p>
                <w:p w:rsidR="008610AB" w:rsidRDefault="008610AB">
                  <w:pPr>
                    <w:spacing w:after="0" w:line="276" w:lineRule="auto"/>
                    <w:rPr>
                      <w:rFonts w:cs="Calibri"/>
                      <w:i/>
                      <w:sz w:val="24"/>
                      <w:szCs w:val="24"/>
                      <w:lang w:val="nl-NL"/>
                    </w:rPr>
                  </w:pPr>
                </w:p>
                <w:p w:rsidR="008610AB" w:rsidRDefault="00B00EC2">
                  <w:pPr>
                    <w:spacing w:after="0" w:line="276" w:lineRule="auto"/>
                  </w:pPr>
                  <w:r>
                    <w:rPr>
                      <w:rFonts w:cs="Calibri"/>
                      <w:sz w:val="24"/>
                      <w:szCs w:val="24"/>
                      <w:lang w:val="nl-NL"/>
                    </w:rPr>
                    <w:t>Rondleiding op de afdeling</w:t>
                  </w:r>
                </w:p>
              </w:tc>
            </w:tr>
            <w:tr w:rsidR="008610AB">
              <w:tblPrEx>
                <w:tblCellMar>
                  <w:top w:w="0" w:type="dxa"/>
                  <w:bottom w:w="0" w:type="dxa"/>
                </w:tblCellMar>
              </w:tblPrEx>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20:45</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rsidR="008610AB" w:rsidRDefault="00B00EC2">
                  <w:pPr>
                    <w:spacing w:after="0" w:line="276" w:lineRule="auto"/>
                  </w:pPr>
                  <w:r>
                    <w:rPr>
                      <w:rFonts w:eastAsia="Times New Roman" w:cs="Calibri"/>
                      <w:sz w:val="24"/>
                      <w:szCs w:val="24"/>
                      <w:lang w:val="nl-NL" w:eastAsia="nl-NL"/>
                    </w:rPr>
                    <w:t>Afsluiting met een drankje</w:t>
                  </w:r>
                </w:p>
              </w:tc>
            </w:tr>
          </w:tbl>
          <w:p w:rsidR="008610AB" w:rsidRDefault="008610AB">
            <w:pPr>
              <w:spacing w:after="0" w:line="276" w:lineRule="auto"/>
              <w:rPr>
                <w:rFonts w:eastAsia="Times New Roman" w:cs="Calibri"/>
                <w:sz w:val="24"/>
                <w:szCs w:val="24"/>
                <w:lang w:val="nl-NL" w:eastAsia="nl-NL"/>
              </w:rPr>
            </w:pPr>
          </w:p>
        </w:tc>
      </w:tr>
    </w:tbl>
    <w:p w:rsidR="008610AB" w:rsidRDefault="008610AB">
      <w:pPr>
        <w:pageBreakBefore/>
        <w:rPr>
          <w:rFonts w:cs="Calibri"/>
          <w:sz w:val="24"/>
          <w:szCs w:val="24"/>
        </w:rPr>
      </w:pPr>
    </w:p>
    <w:tbl>
      <w:tblPr>
        <w:tblW w:w="5000" w:type="pct"/>
        <w:tblCellMar>
          <w:left w:w="10" w:type="dxa"/>
          <w:right w:w="10" w:type="dxa"/>
        </w:tblCellMar>
        <w:tblLook w:val="04A0" w:firstRow="1" w:lastRow="0" w:firstColumn="1" w:lastColumn="0" w:noHBand="0" w:noVBand="1"/>
      </w:tblPr>
      <w:tblGrid>
        <w:gridCol w:w="9360"/>
      </w:tblGrid>
      <w:tr w:rsidR="008610AB">
        <w:tblPrEx>
          <w:tblCellMar>
            <w:top w:w="0" w:type="dxa"/>
            <w:bottom w:w="0" w:type="dxa"/>
          </w:tblCellMar>
        </w:tblPrEx>
        <w:tc>
          <w:tcPr>
            <w:tcW w:w="9360" w:type="dxa"/>
            <w:shd w:val="clear" w:color="auto" w:fill="auto"/>
            <w:tcMar>
              <w:top w:w="0" w:type="dxa"/>
              <w:left w:w="0" w:type="dxa"/>
              <w:bottom w:w="150" w:type="dxa"/>
              <w:right w:w="0" w:type="dxa"/>
            </w:tcMar>
          </w:tcPr>
          <w:p w:rsidR="008610AB" w:rsidRDefault="00B00EC2">
            <w:pPr>
              <w:spacing w:after="0" w:line="276" w:lineRule="auto"/>
            </w:pPr>
            <w:r>
              <w:rPr>
                <w:rFonts w:eastAsia="Times New Roman" w:cs="Calibri"/>
                <w:i/>
                <w:iCs/>
                <w:sz w:val="24"/>
                <w:szCs w:val="24"/>
                <w:lang w:val="nl-NL"/>
              </w:rPr>
              <w:t>Prof. Dr. Adriaan Honig</w:t>
            </w:r>
            <w:r>
              <w:rPr>
                <w:rFonts w:cs="Calibri"/>
                <w:sz w:val="24"/>
                <w:szCs w:val="24"/>
              </w:rPr>
              <w:t xml:space="preserve"> is </w:t>
            </w:r>
            <w:r>
              <w:rPr>
                <w:rFonts w:cs="Calibri"/>
                <w:sz w:val="24"/>
                <w:szCs w:val="24"/>
              </w:rPr>
              <w:t>psychiater en bijzonder hoogleraar Ziekenhuispsychiatrie. Hij is werkzaam bij het VU Medisch Centrum en Onze Lieve Vrouwe Gasthuis te Amsterdam. Prof. Honig brengt dit jaar een boek uit over ziekenhuispsychiatrie. Deze avond zal hij toelichten wat kenmerke</w:t>
            </w:r>
            <w:r>
              <w:rPr>
                <w:rFonts w:cs="Calibri"/>
                <w:sz w:val="24"/>
                <w:szCs w:val="24"/>
              </w:rPr>
              <w:t>nd is voor psychiatrische zorg in een ziekenhuis en hoe dit onderdeel uitmaakt van de ketenzorg.</w:t>
            </w:r>
          </w:p>
          <w:p w:rsidR="008610AB" w:rsidRDefault="008610AB">
            <w:pPr>
              <w:spacing w:after="0" w:line="276" w:lineRule="auto"/>
              <w:rPr>
                <w:rFonts w:cs="Calibri"/>
                <w:sz w:val="24"/>
                <w:szCs w:val="24"/>
              </w:rPr>
            </w:pPr>
          </w:p>
          <w:p w:rsidR="008610AB" w:rsidRDefault="00B00EC2">
            <w:pPr>
              <w:spacing w:after="0" w:line="276" w:lineRule="auto"/>
            </w:pPr>
            <w:r>
              <w:rPr>
                <w:rFonts w:cs="Calibri"/>
                <w:i/>
                <w:sz w:val="24"/>
                <w:szCs w:val="24"/>
              </w:rPr>
              <w:t xml:space="preserve">Drs. </w:t>
            </w:r>
            <w:r>
              <w:rPr>
                <w:rFonts w:eastAsia="Times New Roman" w:cs="Calibri"/>
                <w:i/>
                <w:iCs/>
                <w:sz w:val="24"/>
                <w:szCs w:val="24"/>
                <w:lang w:val="nl-NL"/>
              </w:rPr>
              <w:t xml:space="preserve">Adriano van de Loo </w:t>
            </w:r>
            <w:r>
              <w:rPr>
                <w:rFonts w:eastAsia="Times New Roman" w:cs="Calibri"/>
                <w:iCs/>
                <w:sz w:val="24"/>
                <w:szCs w:val="24"/>
                <w:lang w:val="nl-NL"/>
              </w:rPr>
              <w:t>en</w:t>
            </w:r>
            <w:r>
              <w:rPr>
                <w:rFonts w:eastAsia="Times New Roman" w:cs="Calibri"/>
                <w:i/>
                <w:iCs/>
                <w:sz w:val="24"/>
                <w:szCs w:val="24"/>
                <w:lang w:val="nl-NL"/>
              </w:rPr>
              <w:t xml:space="preserve"> Dr. Ton Vergouwen </w:t>
            </w:r>
            <w:r>
              <w:rPr>
                <w:rFonts w:eastAsia="Times New Roman" w:cs="Calibri"/>
                <w:iCs/>
                <w:sz w:val="24"/>
                <w:szCs w:val="24"/>
                <w:lang w:val="nl-NL"/>
              </w:rPr>
              <w:t>zijn beide werkzaam als psychiater bij OLVG West. Zij gaan deze avond met u de discussie aan over ziekenhuispsych</w:t>
            </w:r>
            <w:r>
              <w:rPr>
                <w:rFonts w:eastAsia="Times New Roman" w:cs="Calibri"/>
                <w:iCs/>
                <w:sz w:val="24"/>
                <w:szCs w:val="24"/>
                <w:lang w:val="nl-NL"/>
              </w:rPr>
              <w:t>iatrie in Amsterdam. Zij zullen o.a. ingaan op de vragen……………….</w:t>
            </w:r>
          </w:p>
        </w:tc>
      </w:tr>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8610AB">
            <w:pPr>
              <w:spacing w:after="0" w:line="276" w:lineRule="auto"/>
              <w:rPr>
                <w:rFonts w:eastAsia="Times New Roman" w:cs="Calibri"/>
                <w:b/>
                <w:bCs/>
                <w:color w:val="850051"/>
                <w:sz w:val="24"/>
                <w:szCs w:val="24"/>
                <w:lang w:val="nl-NL" w:eastAsia="nl-NL"/>
              </w:rPr>
            </w:pPr>
          </w:p>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Accreditatie</w:t>
            </w:r>
          </w:p>
          <w:p w:rsidR="008610AB" w:rsidRDefault="00B00EC2">
            <w:pPr>
              <w:spacing w:after="0" w:line="276" w:lineRule="auto"/>
            </w:pPr>
            <w:r>
              <w:rPr>
                <w:rFonts w:eastAsia="Times New Roman" w:cs="Calibri"/>
                <w:sz w:val="24"/>
                <w:szCs w:val="24"/>
                <w:lang w:val="nl-NL" w:eastAsia="nl-NL"/>
              </w:rPr>
              <w:t>Accreditatie is aangevraagd bij de NVVP (2 punten).</w:t>
            </w:r>
          </w:p>
        </w:tc>
      </w:tr>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Kosten</w:t>
            </w:r>
          </w:p>
          <w:p w:rsidR="008610AB" w:rsidRDefault="00B00EC2">
            <w:pPr>
              <w:spacing w:after="0" w:line="276" w:lineRule="auto"/>
            </w:pPr>
            <w:r>
              <w:rPr>
                <w:rFonts w:eastAsia="Times New Roman" w:cs="Calibri"/>
                <w:sz w:val="24"/>
                <w:szCs w:val="24"/>
                <w:lang w:val="nl-NL" w:eastAsia="nl-NL"/>
              </w:rPr>
              <w:t>Aan deze nascholing zijn geen kosten verbonden.</w:t>
            </w:r>
          </w:p>
        </w:tc>
      </w:tr>
      <w:tr w:rsidR="008610AB">
        <w:tblPrEx>
          <w:tblCellMar>
            <w:top w:w="0" w:type="dxa"/>
            <w:bottom w:w="0" w:type="dxa"/>
          </w:tblCellMar>
        </w:tblPrEx>
        <w:tc>
          <w:tcPr>
            <w:tcW w:w="9360" w:type="dxa"/>
            <w:shd w:val="clear" w:color="auto" w:fill="auto"/>
            <w:tcMar>
              <w:top w:w="150" w:type="dxa"/>
              <w:left w:w="0" w:type="dxa"/>
              <w:bottom w:w="150" w:type="dxa"/>
              <w:right w:w="0" w:type="dxa"/>
            </w:tcMar>
          </w:tcPr>
          <w:p w:rsidR="008610AB" w:rsidRDefault="00B00EC2">
            <w:pPr>
              <w:spacing w:after="0" w:line="276" w:lineRule="auto"/>
              <w:rPr>
                <w:rFonts w:eastAsia="Times New Roman" w:cs="Calibri"/>
                <w:b/>
                <w:bCs/>
                <w:color w:val="850051"/>
                <w:sz w:val="24"/>
                <w:szCs w:val="24"/>
                <w:lang w:val="nl-NL" w:eastAsia="nl-NL"/>
              </w:rPr>
            </w:pPr>
            <w:r>
              <w:rPr>
                <w:rFonts w:eastAsia="Times New Roman" w:cs="Calibri"/>
                <w:b/>
                <w:bCs/>
                <w:color w:val="850051"/>
                <w:sz w:val="24"/>
                <w:szCs w:val="24"/>
                <w:lang w:val="nl-NL" w:eastAsia="nl-NL"/>
              </w:rPr>
              <w:t>Aanmelden</w:t>
            </w:r>
          </w:p>
          <w:p w:rsidR="008610AB" w:rsidRDefault="00B00EC2">
            <w:pPr>
              <w:spacing w:after="0" w:line="276" w:lineRule="auto"/>
            </w:pPr>
            <w:r>
              <w:rPr>
                <w:rFonts w:eastAsia="Times New Roman" w:cs="Calibri"/>
                <w:sz w:val="24"/>
                <w:szCs w:val="24"/>
                <w:lang w:val="nl-NL" w:eastAsia="nl-NL"/>
              </w:rPr>
              <w:t xml:space="preserve">U meldt zich voor deze nascholing aan door een e-mail te </w:t>
            </w:r>
            <w:r>
              <w:rPr>
                <w:rFonts w:eastAsia="Times New Roman" w:cs="Calibri"/>
                <w:sz w:val="24"/>
                <w:szCs w:val="24"/>
                <w:lang w:val="nl-NL" w:eastAsia="nl-NL"/>
              </w:rPr>
              <w:t xml:space="preserve">sturen naar Marjon Brokx: </w:t>
            </w:r>
            <w:hyperlink r:id="rId6" w:history="1">
              <w:r>
                <w:rPr>
                  <w:rFonts w:eastAsia="Times New Roman" w:cs="Calibri"/>
                  <w:sz w:val="24"/>
                  <w:szCs w:val="24"/>
                  <w:u w:val="single"/>
                  <w:lang w:val="nl-NL" w:eastAsia="nl-NL"/>
                </w:rPr>
                <w:t>mbrokx@its.jnj.com</w:t>
              </w:r>
            </w:hyperlink>
            <w:r>
              <w:rPr>
                <w:rFonts w:eastAsia="Times New Roman" w:cs="Calibri"/>
                <w:sz w:val="24"/>
                <w:szCs w:val="24"/>
                <w:lang w:val="nl-NL" w:eastAsia="nl-NL"/>
              </w:rPr>
              <w:t xml:space="preserve"> met vermeld</w:t>
            </w:r>
            <w:r>
              <w:rPr>
                <w:rFonts w:eastAsia="Times New Roman" w:cs="Calibri"/>
                <w:sz w:val="24"/>
                <w:szCs w:val="24"/>
                <w:lang w:val="nl-NL" w:eastAsia="nl-NL"/>
              </w:rPr>
              <w:t xml:space="preserve">ing van uw naam, instelling en BIG nummer </w:t>
            </w:r>
            <w:r>
              <w:rPr>
                <w:rFonts w:eastAsia="Times New Roman" w:cs="Calibri"/>
                <w:sz w:val="24"/>
                <w:szCs w:val="24"/>
                <w:lang w:val="nl-NL" w:eastAsia="nl-NL"/>
              </w:rPr>
              <w:br/>
            </w:r>
          </w:p>
        </w:tc>
      </w:tr>
      <w:tr w:rsidR="008610AB">
        <w:tblPrEx>
          <w:tblCellMar>
            <w:top w:w="0" w:type="dxa"/>
            <w:bottom w:w="0" w:type="dxa"/>
          </w:tblCellMar>
        </w:tblPrEx>
        <w:tc>
          <w:tcPr>
            <w:tcW w:w="9360" w:type="dxa"/>
            <w:shd w:val="clear" w:color="auto" w:fill="auto"/>
            <w:tcMar>
              <w:top w:w="0" w:type="dxa"/>
              <w:left w:w="0" w:type="dxa"/>
              <w:bottom w:w="150" w:type="dxa"/>
              <w:right w:w="0" w:type="dxa"/>
            </w:tcMar>
          </w:tcPr>
          <w:p w:rsidR="008610AB" w:rsidRDefault="00B00EC2">
            <w:pPr>
              <w:spacing w:after="0" w:line="276" w:lineRule="auto"/>
            </w:pPr>
            <w:r>
              <w:rPr>
                <w:rFonts w:eastAsia="Times New Roman" w:cs="Calibri"/>
                <w:sz w:val="24"/>
                <w:szCs w:val="24"/>
                <w:lang w:val="nl-NL" w:eastAsia="nl-NL"/>
              </w:rPr>
              <w:t xml:space="preserve">Deze avond wordt mede georganiseerd door </w:t>
            </w:r>
            <w:r>
              <w:rPr>
                <w:rFonts w:cs="Calibri"/>
                <w:sz w:val="24"/>
                <w:szCs w:val="24"/>
              </w:rPr>
              <w:t xml:space="preserve">Janssen-Cilag B.V. </w:t>
            </w:r>
            <w:r>
              <w:rPr>
                <w:rFonts w:eastAsia="Times New Roman" w:cs="Calibri"/>
                <w:sz w:val="24"/>
                <w:szCs w:val="24"/>
                <w:lang w:val="nl-NL" w:eastAsia="nl-NL"/>
              </w:rPr>
              <w:t xml:space="preserve">Aarzel niet mij te contacteren voor verdere informatie en hopelijk mogen wij u verwelkomen op 26 april! </w:t>
            </w:r>
            <w:r>
              <w:rPr>
                <w:rFonts w:eastAsia="Times New Roman" w:cs="Calibri"/>
                <w:sz w:val="24"/>
                <w:szCs w:val="24"/>
                <w:lang w:val="nl-NL" w:eastAsia="nl-NL"/>
              </w:rPr>
              <w:br/>
            </w:r>
          </w:p>
          <w:p w:rsidR="008610AB" w:rsidRDefault="00B00EC2">
            <w:pPr>
              <w:spacing w:after="0" w:line="276" w:lineRule="auto"/>
              <w:rPr>
                <w:rFonts w:cs="Calibri"/>
                <w:sz w:val="24"/>
                <w:szCs w:val="24"/>
              </w:rPr>
            </w:pPr>
            <w:r>
              <w:rPr>
                <w:rFonts w:cs="Calibri"/>
                <w:sz w:val="24"/>
                <w:szCs w:val="24"/>
              </w:rPr>
              <w:t>Met vriendelijke groet, ook namens Adriano,</w:t>
            </w:r>
          </w:p>
          <w:p w:rsidR="008610AB" w:rsidRDefault="008610AB">
            <w:pPr>
              <w:spacing w:after="0" w:line="276" w:lineRule="auto"/>
              <w:rPr>
                <w:rFonts w:eastAsia="Times New Roman" w:cs="Calibri"/>
                <w:sz w:val="24"/>
                <w:szCs w:val="24"/>
                <w:lang w:val="nl-NL" w:eastAsia="nl-NL"/>
              </w:rPr>
            </w:pPr>
          </w:p>
        </w:tc>
      </w:tr>
    </w:tbl>
    <w:p w:rsidR="008610AB" w:rsidRDefault="00B00EC2">
      <w:pPr>
        <w:spacing w:after="0" w:line="276" w:lineRule="auto"/>
      </w:pPr>
      <w:r>
        <w:rPr>
          <w:rFonts w:cs="Calibri"/>
          <w:b/>
          <w:sz w:val="24"/>
          <w:szCs w:val="24"/>
        </w:rPr>
        <w:t>Saartje Burgmans, PhD</w:t>
      </w:r>
    </w:p>
    <w:p w:rsidR="008610AB" w:rsidRDefault="00B00EC2">
      <w:pPr>
        <w:spacing w:after="0" w:line="276" w:lineRule="auto"/>
        <w:rPr>
          <w:rFonts w:cs="Calibri"/>
          <w:sz w:val="24"/>
          <w:szCs w:val="24"/>
        </w:rPr>
      </w:pPr>
      <w:r>
        <w:rPr>
          <w:rFonts w:cs="Calibri"/>
          <w:sz w:val="24"/>
          <w:szCs w:val="24"/>
        </w:rPr>
        <w:t xml:space="preserve">Medical Science Liaison Neuroscience </w:t>
      </w:r>
    </w:p>
    <w:p w:rsidR="008610AB" w:rsidRDefault="00B00EC2">
      <w:pPr>
        <w:spacing w:after="0" w:line="276" w:lineRule="auto"/>
        <w:rPr>
          <w:rFonts w:cs="Calibri"/>
          <w:sz w:val="24"/>
          <w:szCs w:val="24"/>
        </w:rPr>
      </w:pPr>
      <w:r>
        <w:rPr>
          <w:rFonts w:cs="Calibri"/>
          <w:sz w:val="24"/>
          <w:szCs w:val="24"/>
        </w:rPr>
        <w:t>Janssen-Cilag BV</w:t>
      </w:r>
    </w:p>
    <w:p w:rsidR="008610AB" w:rsidRDefault="00B00EC2">
      <w:pPr>
        <w:autoSpaceDE w:val="0"/>
        <w:spacing w:after="0" w:line="276" w:lineRule="auto"/>
      </w:pPr>
      <w:hyperlink r:id="rId7" w:history="1">
        <w:r>
          <w:rPr>
            <w:rStyle w:val="Hyperlink"/>
            <w:rFonts w:eastAsia="Times New Roman" w:cs="Calibri"/>
            <w:color w:val="auto"/>
            <w:sz w:val="24"/>
            <w:szCs w:val="24"/>
          </w:rPr>
          <w:t>sburgma@its.jnj.com</w:t>
        </w:r>
      </w:hyperlink>
    </w:p>
    <w:p w:rsidR="008610AB" w:rsidRDefault="00B00EC2">
      <w:pPr>
        <w:autoSpaceDE w:val="0"/>
        <w:spacing w:after="0" w:line="276" w:lineRule="auto"/>
      </w:pPr>
      <w:r>
        <w:rPr>
          <w:rFonts w:eastAsia="Times New Roman" w:cs="Calibri"/>
          <w:sz w:val="24"/>
          <w:szCs w:val="24"/>
        </w:rPr>
        <w:t>06 41 58 41 67</w:t>
      </w:r>
    </w:p>
    <w:p w:rsidR="008610AB" w:rsidRDefault="008610AB">
      <w:pPr>
        <w:jc w:val="right"/>
      </w:pPr>
    </w:p>
    <w:sectPr w:rsidR="008610AB">
      <w:pgSz w:w="12240" w:h="15840"/>
      <w:pgMar w:top="567" w:right="1440" w:bottom="7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C2" w:rsidRDefault="00B00EC2">
      <w:pPr>
        <w:spacing w:after="0"/>
      </w:pPr>
      <w:r>
        <w:separator/>
      </w:r>
    </w:p>
  </w:endnote>
  <w:endnote w:type="continuationSeparator" w:id="0">
    <w:p w:rsidR="00B00EC2" w:rsidRDefault="00B00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C2" w:rsidRDefault="00B00EC2">
      <w:pPr>
        <w:spacing w:after="0"/>
      </w:pPr>
      <w:r>
        <w:rPr>
          <w:color w:val="000000"/>
        </w:rPr>
        <w:separator/>
      </w:r>
    </w:p>
  </w:footnote>
  <w:footnote w:type="continuationSeparator" w:id="0">
    <w:p w:rsidR="00B00EC2" w:rsidRDefault="00B00E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610AB"/>
    <w:rsid w:val="008610AB"/>
    <w:rsid w:val="009E55F6"/>
    <w:rsid w:val="00B0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3FFDB-2860-4631-8076-BAEF3D4F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paragraph" w:styleId="Revision">
    <w:name w:val="Revision"/>
    <w:pPr>
      <w:spacing w:after="0"/>
      <w:textAlignment w:val="auto"/>
    </w:pPr>
  </w:style>
  <w:style w:type="paragraph" w:styleId="NormalWeb">
    <w:name w:val="Normal (Web)"/>
    <w:basedOn w:val="Normal"/>
    <w:pPr>
      <w:suppressAutoHyphens w:val="0"/>
      <w:spacing w:after="0"/>
      <w:textAlignment w:val="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urgma@its.jn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gin-www.static.janssen-emea.com/openlink?accountId=&amp;url=mailto:mbrokx@its.jnj.com&amp;emailId=00X0B000000NkVn9-2-2017%209:49&amp;emailName=Uitnodiging%20nascholing%20Mirrors%20of%20Medic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Mangelaars, Maartje [JRDNL]</dc:creator>
  <dc:description/>
  <cp:lastModifiedBy>Burgmans, Saartje [JACNL]</cp:lastModifiedBy>
  <cp:revision>2</cp:revision>
  <dcterms:created xsi:type="dcterms:W3CDTF">2018-01-23T12:11:00Z</dcterms:created>
  <dcterms:modified xsi:type="dcterms:W3CDTF">2018-01-23T12:11:00Z</dcterms:modified>
</cp:coreProperties>
</file>